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A36BE" w:rsidRPr="008A36BE" w:rsidRDefault="008A36BE" w:rsidP="008A36BE">
      <w:pPr>
        <w:spacing w:after="0"/>
        <w:jc w:val="center"/>
        <w:rPr>
          <w:b/>
          <w:sz w:val="24"/>
          <w:szCs w:val="24"/>
        </w:rPr>
      </w:pPr>
      <w:r w:rsidRPr="008A36BE">
        <w:rPr>
          <w:b/>
          <w:sz w:val="24"/>
          <w:szCs w:val="24"/>
        </w:rPr>
        <w:t xml:space="preserve">Indian Geotechnical Society TC-8 Workshop on </w:t>
      </w:r>
      <w:r w:rsidRPr="00044D49">
        <w:rPr>
          <w:b/>
          <w:sz w:val="28"/>
          <w:szCs w:val="28"/>
        </w:rPr>
        <w:t>Numerical and Physical Modelling</w:t>
      </w:r>
    </w:p>
    <w:p w:rsidR="00625DE9" w:rsidRPr="00854EE6" w:rsidRDefault="008A36BE" w:rsidP="008A36BE">
      <w:pPr>
        <w:spacing w:after="0"/>
        <w:jc w:val="center"/>
        <w:rPr>
          <w:b/>
          <w:color w:val="31849B" w:themeColor="accent5" w:themeShade="BF"/>
          <w:sz w:val="24"/>
          <w:szCs w:val="24"/>
        </w:rPr>
      </w:pPr>
      <w:r w:rsidRPr="00854EE6">
        <w:rPr>
          <w:b/>
          <w:color w:val="31849B" w:themeColor="accent5" w:themeShade="BF"/>
          <w:sz w:val="24"/>
          <w:szCs w:val="24"/>
        </w:rPr>
        <w:t xml:space="preserve">(Sponsored by </w:t>
      </w:r>
      <w:r w:rsidR="00044D49" w:rsidRPr="00854EE6">
        <w:rPr>
          <w:b/>
          <w:color w:val="31849B" w:themeColor="accent5" w:themeShade="BF"/>
          <w:sz w:val="24"/>
          <w:szCs w:val="24"/>
        </w:rPr>
        <w:t xml:space="preserve">the </w:t>
      </w:r>
      <w:r w:rsidRPr="00854EE6">
        <w:rPr>
          <w:b/>
          <w:color w:val="31849B" w:themeColor="accent5" w:themeShade="BF"/>
          <w:sz w:val="24"/>
          <w:szCs w:val="24"/>
        </w:rPr>
        <w:t xml:space="preserve">TATA </w:t>
      </w:r>
      <w:r w:rsidR="00044D49" w:rsidRPr="00854EE6">
        <w:rPr>
          <w:b/>
          <w:color w:val="31849B" w:themeColor="accent5" w:themeShade="BF"/>
          <w:sz w:val="24"/>
          <w:szCs w:val="24"/>
        </w:rPr>
        <w:t>TISCON</w:t>
      </w:r>
      <w:r w:rsidRPr="00854EE6">
        <w:rPr>
          <w:b/>
          <w:color w:val="31849B" w:themeColor="accent5" w:themeShade="BF"/>
          <w:sz w:val="24"/>
          <w:szCs w:val="24"/>
        </w:rPr>
        <w:t>)</w:t>
      </w:r>
    </w:p>
    <w:p w:rsidR="008A36BE" w:rsidRDefault="008A36BE" w:rsidP="008A36BE">
      <w:pPr>
        <w:spacing w:after="0"/>
        <w:jc w:val="center"/>
      </w:pPr>
    </w:p>
    <w:p w:rsidR="00EF7AB5" w:rsidRDefault="008A36BE" w:rsidP="008A36BE">
      <w:pPr>
        <w:jc w:val="both"/>
      </w:pPr>
      <w:r>
        <w:t xml:space="preserve">Department of Civil Engineering of Guru Nanak Dev Engineering College, Ludhiana in association with the IGS-Ludhiana Chapter is conducting one day workshop on </w:t>
      </w:r>
      <w:r w:rsidRPr="00EF7AB5">
        <w:rPr>
          <w:b/>
        </w:rPr>
        <w:t>3</w:t>
      </w:r>
      <w:r w:rsidRPr="00EF7AB5">
        <w:rPr>
          <w:b/>
          <w:vertAlign w:val="superscript"/>
        </w:rPr>
        <w:t>rd</w:t>
      </w:r>
      <w:r w:rsidRPr="00EF7AB5">
        <w:rPr>
          <w:b/>
        </w:rPr>
        <w:t xml:space="preserve"> October, 2015</w:t>
      </w:r>
      <w:r>
        <w:t xml:space="preserve"> with an aim to frame guidelines on different aspects of the ‘</w:t>
      </w:r>
      <w:r w:rsidRPr="00EF7AB5">
        <w:rPr>
          <w:b/>
        </w:rPr>
        <w:t>Numerical and Physical Modelling’</w:t>
      </w:r>
      <w:r>
        <w:t xml:space="preserve">. It will be conducted by a panel of experts from different IITs and academicians who have years of experience in the design and consultation related to engineering structures. </w:t>
      </w:r>
    </w:p>
    <w:p w:rsidR="008A36BE" w:rsidRDefault="008A36BE" w:rsidP="008A36BE">
      <w:pPr>
        <w:jc w:val="both"/>
      </w:pPr>
      <w:r>
        <w:t>This workshop aims to understand various issues of evaluation of different parameters generally required in the successful and efficient numerical and physical modelling of engineering problem</w:t>
      </w:r>
      <w:r w:rsidR="00044D49">
        <w:t>s</w:t>
      </w:r>
      <w:r>
        <w:t xml:space="preserve"> with special emphasis on geotechnical engineering. This is because of the fact that the soil is a complex material formed by the weathering of rocks. </w:t>
      </w:r>
      <w:r w:rsidR="00044D49">
        <w:t>During this process, di</w:t>
      </w:r>
      <w:r>
        <w:t>fferent types of soils with a wide spectrum of diverse properties are formed</w:t>
      </w:r>
      <w:r w:rsidR="00EF7AB5">
        <w:t xml:space="preserve">. As </w:t>
      </w:r>
      <w:r w:rsidR="00044D49">
        <w:t xml:space="preserve">all engineering structures have to rest on </w:t>
      </w:r>
      <w:r w:rsidR="00B25781">
        <w:t xml:space="preserve">the </w:t>
      </w:r>
      <w:r w:rsidR="00044D49">
        <w:t>soils which vary from site to site</w:t>
      </w:r>
      <w:r w:rsidR="00EF7AB5">
        <w:t>; e</w:t>
      </w:r>
      <w:r w:rsidR="00044D49">
        <w:t xml:space="preserve">ven at a given site, </w:t>
      </w:r>
      <w:r w:rsidR="00B25781">
        <w:t xml:space="preserve">soil properties </w:t>
      </w:r>
      <w:r w:rsidR="00044D49">
        <w:t>var</w:t>
      </w:r>
      <w:r w:rsidR="00B25781">
        <w:t>y</w:t>
      </w:r>
      <w:r w:rsidR="00044D49">
        <w:t xml:space="preserve"> from layer to layer in the founding ground</w:t>
      </w:r>
      <w:r w:rsidR="00EF7AB5">
        <w:t>, it becomes mandatory for designers to take these variations into account while predicting the response of structures founded thereon</w:t>
      </w:r>
      <w:r w:rsidR="00044D49">
        <w:t>.</w:t>
      </w:r>
      <w:r>
        <w:t xml:space="preserve"> </w:t>
      </w:r>
      <w:r w:rsidR="00EF7AB5">
        <w:t>Nevertheless, w</w:t>
      </w:r>
      <w:r>
        <w:t xml:space="preserve">ith a growing need for better infrastructure, proper understanding of the nature of the ground and accurate estimation of soil properties are essential for the safe and economic design of </w:t>
      </w:r>
      <w:r w:rsidR="00044D49">
        <w:t xml:space="preserve">engineering </w:t>
      </w:r>
      <w:r>
        <w:t xml:space="preserve">structures. </w:t>
      </w:r>
      <w:r w:rsidR="00EF7AB5">
        <w:t>Recent a</w:t>
      </w:r>
      <w:r>
        <w:t xml:space="preserve">dvancements in </w:t>
      </w:r>
      <w:r w:rsidR="00EF7AB5">
        <w:t xml:space="preserve">the computing power and algorithms have given a big boost to consider these effects into the routine design practice and it has become possible to consider the soil-structure interaction while </w:t>
      </w:r>
      <w:r w:rsidR="00044D49">
        <w:t xml:space="preserve">simulating the response of structures. </w:t>
      </w:r>
      <w:r w:rsidR="00B25781">
        <w:t xml:space="preserve">The workshop tries to refresh the fundamental and mandatory dos-and-don’ts that must be considered while modelling. </w:t>
      </w:r>
      <w:r>
        <w:t>The title of the presentations by the experts in given below:</w:t>
      </w:r>
    </w:p>
    <w:p w:rsidR="006754CF" w:rsidRPr="00667280" w:rsidRDefault="006754CF" w:rsidP="002A115C">
      <w:pPr>
        <w:spacing w:after="0" w:line="240" w:lineRule="auto"/>
        <w:rPr>
          <w:b/>
          <w:color w:val="FF0000"/>
          <w:sz w:val="24"/>
          <w:szCs w:val="24"/>
        </w:rPr>
      </w:pPr>
      <w:r w:rsidRPr="00667280">
        <w:rPr>
          <w:b/>
          <w:color w:val="FF0000"/>
          <w:sz w:val="24"/>
          <w:szCs w:val="24"/>
        </w:rPr>
        <w:t>Programme schedule</w:t>
      </w:r>
    </w:p>
    <w:tbl>
      <w:tblPr>
        <w:tblStyle w:val="TableGrid"/>
        <w:tblW w:w="9072" w:type="dxa"/>
        <w:tblInd w:w="108" w:type="dxa"/>
        <w:tblLook w:val="04A0"/>
      </w:tblPr>
      <w:tblGrid>
        <w:gridCol w:w="7878"/>
        <w:gridCol w:w="1194"/>
      </w:tblGrid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rPr>
                <w:b/>
                <w:sz w:val="24"/>
                <w:szCs w:val="24"/>
              </w:rPr>
            </w:pPr>
            <w:r w:rsidRPr="00667280"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0800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0900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667280">
              <w:rPr>
                <w:b/>
                <w:sz w:val="24"/>
                <w:szCs w:val="24"/>
              </w:rPr>
              <w:t>Inaugural function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0900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0930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jc w:val="both"/>
              <w:rPr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>Finite Element Methods for Analysis of Constructions on Soft Clay Soils</w:t>
            </w:r>
            <w:r w:rsidRPr="00667280">
              <w:rPr>
                <w:sz w:val="20"/>
                <w:szCs w:val="20"/>
              </w:rPr>
              <w:t xml:space="preserve">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80">
              <w:rPr>
                <w:sz w:val="20"/>
                <w:szCs w:val="20"/>
              </w:rPr>
              <w:t xml:space="preserve">K. </w:t>
            </w:r>
            <w:proofErr w:type="spellStart"/>
            <w:r w:rsidRPr="00667280">
              <w:rPr>
                <w:sz w:val="20"/>
                <w:szCs w:val="20"/>
              </w:rPr>
              <w:t>Rajagopal</w:t>
            </w:r>
            <w:proofErr w:type="spellEnd"/>
            <w:r w:rsidRPr="00667280">
              <w:rPr>
                <w:sz w:val="20"/>
                <w:szCs w:val="20"/>
              </w:rPr>
              <w:t>, IIT Madras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0930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1015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jc w:val="both"/>
              <w:rPr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>Numerical Modelling for Nonlinear Seismic Soil-Structure Interaction and Liquefaction</w:t>
            </w:r>
            <w:r w:rsidRPr="00667280">
              <w:rPr>
                <w:sz w:val="20"/>
                <w:szCs w:val="20"/>
              </w:rPr>
              <w:t xml:space="preserve">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80">
              <w:rPr>
                <w:sz w:val="20"/>
                <w:szCs w:val="20"/>
              </w:rPr>
              <w:t xml:space="preserve">B. K. </w:t>
            </w:r>
            <w:proofErr w:type="spellStart"/>
            <w:r w:rsidRPr="00667280">
              <w:rPr>
                <w:sz w:val="20"/>
                <w:szCs w:val="20"/>
              </w:rPr>
              <w:t>Maheshwari</w:t>
            </w:r>
            <w:proofErr w:type="spellEnd"/>
            <w:r w:rsidRPr="00667280">
              <w:rPr>
                <w:sz w:val="20"/>
                <w:szCs w:val="20"/>
              </w:rPr>
              <w:t xml:space="preserve">, IIT </w:t>
            </w:r>
            <w:proofErr w:type="spellStart"/>
            <w:r w:rsidRPr="00667280">
              <w:rPr>
                <w:sz w:val="20"/>
                <w:szCs w:val="20"/>
              </w:rPr>
              <w:t>Roorkee</w:t>
            </w:r>
            <w:proofErr w:type="spellEnd"/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1020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1105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jc w:val="both"/>
              <w:rPr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>Reliability Based LRFD Approach for External Seismic Stability of Reinforced Soil Walls</w:t>
            </w:r>
            <w:r w:rsidRPr="00667280">
              <w:rPr>
                <w:sz w:val="20"/>
                <w:szCs w:val="20"/>
              </w:rPr>
              <w:t xml:space="preserve">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80">
              <w:rPr>
                <w:sz w:val="20"/>
                <w:szCs w:val="20"/>
              </w:rPr>
              <w:t xml:space="preserve">B. M. </w:t>
            </w:r>
            <w:proofErr w:type="spellStart"/>
            <w:r w:rsidRPr="00667280">
              <w:rPr>
                <w:sz w:val="20"/>
                <w:szCs w:val="20"/>
              </w:rPr>
              <w:t>Basha</w:t>
            </w:r>
            <w:proofErr w:type="spellEnd"/>
            <w:r w:rsidRPr="00667280">
              <w:rPr>
                <w:sz w:val="20"/>
                <w:szCs w:val="20"/>
              </w:rPr>
              <w:t>, IIT Hyderabad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1110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1155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rPr>
                <w:i/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 xml:space="preserve">Lumped Parameter Modelling of </w:t>
            </w:r>
            <w:proofErr w:type="spellStart"/>
            <w:r w:rsidRPr="00667280">
              <w:rPr>
                <w:i/>
                <w:sz w:val="20"/>
                <w:szCs w:val="20"/>
              </w:rPr>
              <w:t>Geosynthetic</w:t>
            </w:r>
            <w:proofErr w:type="spellEnd"/>
            <w:r w:rsidRPr="00667280">
              <w:rPr>
                <w:i/>
                <w:sz w:val="20"/>
                <w:szCs w:val="20"/>
              </w:rPr>
              <w:t xml:space="preserve">-reinforced Earth Beds under Static and Moving Loads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67280">
              <w:rPr>
                <w:sz w:val="20"/>
                <w:szCs w:val="20"/>
              </w:rPr>
              <w:t>Priti</w:t>
            </w:r>
            <w:proofErr w:type="spellEnd"/>
            <w:r w:rsidRPr="00667280">
              <w:rPr>
                <w:sz w:val="20"/>
                <w:szCs w:val="20"/>
              </w:rPr>
              <w:t xml:space="preserve"> </w:t>
            </w:r>
            <w:proofErr w:type="spellStart"/>
            <w:r w:rsidRPr="00667280">
              <w:rPr>
                <w:sz w:val="20"/>
                <w:szCs w:val="20"/>
              </w:rPr>
              <w:t>Maheshwari</w:t>
            </w:r>
            <w:proofErr w:type="spellEnd"/>
            <w:r w:rsidRPr="00667280">
              <w:rPr>
                <w:sz w:val="20"/>
                <w:szCs w:val="20"/>
              </w:rPr>
              <w:t xml:space="preserve">, IIT </w:t>
            </w:r>
            <w:proofErr w:type="spellStart"/>
            <w:r w:rsidRPr="00667280">
              <w:rPr>
                <w:sz w:val="20"/>
                <w:szCs w:val="20"/>
              </w:rPr>
              <w:t>Roorkee</w:t>
            </w:r>
            <w:proofErr w:type="spellEnd"/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1200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1245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rPr>
                <w:i/>
                <w:sz w:val="20"/>
                <w:szCs w:val="20"/>
              </w:rPr>
            </w:pPr>
            <w:r w:rsidRPr="00667280">
              <w:rPr>
                <w:b/>
                <w:sz w:val="24"/>
                <w:szCs w:val="24"/>
              </w:rPr>
              <w:t>Lunch break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1245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1400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jc w:val="both"/>
              <w:rPr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>Physical modelling of typical geotechnical structures</w:t>
            </w:r>
            <w:r w:rsidRPr="00667280">
              <w:rPr>
                <w:sz w:val="20"/>
                <w:szCs w:val="20"/>
              </w:rPr>
              <w:t xml:space="preserve">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80">
              <w:rPr>
                <w:sz w:val="20"/>
                <w:szCs w:val="20"/>
              </w:rPr>
              <w:t xml:space="preserve">J. T. </w:t>
            </w:r>
            <w:proofErr w:type="spellStart"/>
            <w:r w:rsidRPr="00667280">
              <w:rPr>
                <w:sz w:val="20"/>
                <w:szCs w:val="20"/>
              </w:rPr>
              <w:t>Shahu</w:t>
            </w:r>
            <w:proofErr w:type="spellEnd"/>
            <w:r w:rsidRPr="00667280">
              <w:rPr>
                <w:sz w:val="20"/>
                <w:szCs w:val="20"/>
              </w:rPr>
              <w:t>, IIT</w:t>
            </w:r>
            <w:r w:rsidR="00667280">
              <w:rPr>
                <w:sz w:val="20"/>
                <w:szCs w:val="20"/>
              </w:rPr>
              <w:t xml:space="preserve"> Delhi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1400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1445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jc w:val="both"/>
              <w:rPr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>Centrifuge-based Physical Modelling of Geotechnical Structures</w:t>
            </w:r>
            <w:r w:rsidRPr="00667280">
              <w:rPr>
                <w:sz w:val="20"/>
                <w:szCs w:val="20"/>
              </w:rPr>
              <w:t xml:space="preserve">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667280">
              <w:rPr>
                <w:sz w:val="20"/>
                <w:szCs w:val="20"/>
              </w:rPr>
              <w:t xml:space="preserve">B.V.S. </w:t>
            </w:r>
            <w:proofErr w:type="spellStart"/>
            <w:r w:rsidRPr="00667280">
              <w:rPr>
                <w:sz w:val="20"/>
                <w:szCs w:val="20"/>
              </w:rPr>
              <w:t>Viswanadham</w:t>
            </w:r>
            <w:proofErr w:type="spellEnd"/>
            <w:r w:rsidRPr="00667280">
              <w:rPr>
                <w:sz w:val="20"/>
                <w:szCs w:val="20"/>
              </w:rPr>
              <w:t>, IIT Bombay, Mumbai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1450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1535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667280" w:rsidRDefault="006754CF" w:rsidP="00544C77">
            <w:pPr>
              <w:jc w:val="both"/>
              <w:rPr>
                <w:sz w:val="20"/>
                <w:szCs w:val="20"/>
              </w:rPr>
            </w:pPr>
            <w:r w:rsidRPr="00667280">
              <w:rPr>
                <w:i/>
                <w:sz w:val="20"/>
                <w:szCs w:val="20"/>
              </w:rPr>
              <w:t>Reliability Based LRFD Approach for External Seismic Stability of Reinforced Soil Walls</w:t>
            </w:r>
            <w:r w:rsidRPr="00667280">
              <w:rPr>
                <w:sz w:val="20"/>
                <w:szCs w:val="20"/>
              </w:rPr>
              <w:t xml:space="preserve"> </w:t>
            </w:r>
          </w:p>
          <w:p w:rsidR="006754CF" w:rsidRPr="00667280" w:rsidRDefault="006754CF" w:rsidP="006672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7280">
              <w:rPr>
                <w:sz w:val="20"/>
                <w:szCs w:val="20"/>
              </w:rPr>
              <w:t xml:space="preserve">B. M. </w:t>
            </w:r>
            <w:proofErr w:type="spellStart"/>
            <w:r w:rsidRPr="00667280">
              <w:rPr>
                <w:sz w:val="20"/>
                <w:szCs w:val="20"/>
              </w:rPr>
              <w:t>Basha</w:t>
            </w:r>
            <w:proofErr w:type="spellEnd"/>
            <w:r w:rsidRPr="00667280">
              <w:rPr>
                <w:sz w:val="20"/>
                <w:szCs w:val="20"/>
              </w:rPr>
              <w:t>, IIT Hyderabad</w:t>
            </w:r>
          </w:p>
        </w:tc>
        <w:tc>
          <w:tcPr>
            <w:tcW w:w="1194" w:type="dxa"/>
          </w:tcPr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1540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1625 hours</w:t>
            </w:r>
          </w:p>
        </w:tc>
      </w:tr>
      <w:tr w:rsidR="006754CF" w:rsidRPr="0034487D" w:rsidTr="00667280">
        <w:tc>
          <w:tcPr>
            <w:tcW w:w="7878" w:type="dxa"/>
          </w:tcPr>
          <w:p w:rsidR="006754CF" w:rsidRPr="0034487D" w:rsidRDefault="006754CF" w:rsidP="00667280">
            <w:pPr>
              <w:rPr>
                <w:sz w:val="20"/>
                <w:szCs w:val="20"/>
              </w:rPr>
            </w:pPr>
            <w:r w:rsidRPr="00667280">
              <w:rPr>
                <w:b/>
                <w:sz w:val="24"/>
                <w:szCs w:val="24"/>
              </w:rPr>
              <w:t>Panel discussion and concluding</w:t>
            </w:r>
          </w:p>
        </w:tc>
        <w:tc>
          <w:tcPr>
            <w:tcW w:w="1194" w:type="dxa"/>
          </w:tcPr>
          <w:p w:rsidR="003A62F7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>1630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-</w:t>
            </w:r>
            <w:r w:rsidR="003A62F7">
              <w:rPr>
                <w:sz w:val="20"/>
                <w:szCs w:val="20"/>
              </w:rPr>
              <w:t xml:space="preserve"> </w:t>
            </w:r>
            <w:r w:rsidRPr="0034487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00</w:t>
            </w:r>
          </w:p>
          <w:p w:rsidR="006754CF" w:rsidRPr="0034487D" w:rsidRDefault="006754CF" w:rsidP="00544C77">
            <w:pPr>
              <w:rPr>
                <w:sz w:val="20"/>
                <w:szCs w:val="20"/>
              </w:rPr>
            </w:pPr>
            <w:r w:rsidRPr="0034487D">
              <w:rPr>
                <w:sz w:val="20"/>
                <w:szCs w:val="20"/>
              </w:rPr>
              <w:t xml:space="preserve"> hours</w:t>
            </w:r>
          </w:p>
        </w:tc>
      </w:tr>
    </w:tbl>
    <w:p w:rsidR="002A115C" w:rsidRDefault="002A115C" w:rsidP="00044D49">
      <w:pPr>
        <w:jc w:val="both"/>
      </w:pPr>
      <w:r w:rsidRPr="002A115C">
        <w:rPr>
          <w:b/>
        </w:rPr>
        <w:lastRenderedPageBreak/>
        <w:t>Delegates:</w:t>
      </w:r>
      <w:r>
        <w:t xml:space="preserve"> </w:t>
      </w:r>
    </w:p>
    <w:p w:rsidR="006754CF" w:rsidRDefault="003B1B34" w:rsidP="00044D49">
      <w:pPr>
        <w:jc w:val="both"/>
      </w:pPr>
      <w:r>
        <w:t>About</w:t>
      </w:r>
      <w:r w:rsidR="002A115C">
        <w:t xml:space="preserve"> 175 in numbers</w:t>
      </w:r>
      <w:r>
        <w:t xml:space="preserve"> </w:t>
      </w:r>
      <w:r w:rsidR="002A115C">
        <w:t>--- 117 registered PG students + 15 sponsored delegates from TATA (mostly- consultants, Engineers from Govt departments and testing laboratories) + Faculty from different colleges.</w:t>
      </w:r>
    </w:p>
    <w:p w:rsidR="002A115C" w:rsidRDefault="002A115C" w:rsidP="00044D49">
      <w:pPr>
        <w:jc w:val="both"/>
      </w:pPr>
      <w:r w:rsidRPr="002A115C">
        <w:rPr>
          <w:b/>
        </w:rPr>
        <w:t>Finance at hand</w:t>
      </w:r>
      <w:r>
        <w:rPr>
          <w:b/>
        </w:rPr>
        <w:t>:</w:t>
      </w:r>
      <w:r>
        <w:t xml:space="preserve"> </w:t>
      </w:r>
    </w:p>
    <w:p w:rsidR="002A115C" w:rsidRDefault="002A115C" w:rsidP="00044D49">
      <w:pPr>
        <w:jc w:val="both"/>
      </w:pPr>
      <w:r>
        <w:t>Registration fee = Rs 1</w:t>
      </w:r>
      <w:proofErr w:type="gramStart"/>
      <w:r>
        <w:t>,53,000</w:t>
      </w:r>
      <w:proofErr w:type="gramEnd"/>
      <w:r>
        <w:t xml:space="preserve"> /-</w:t>
      </w:r>
    </w:p>
    <w:p w:rsidR="002A115C" w:rsidRDefault="002A115C" w:rsidP="00044D49">
      <w:pPr>
        <w:jc w:val="both"/>
      </w:pPr>
      <w:r>
        <w:t>Sponsorships (TATA) = Rs 40,000/-</w:t>
      </w:r>
    </w:p>
    <w:p w:rsidR="002A115C" w:rsidRDefault="002A115C" w:rsidP="00044D49">
      <w:pPr>
        <w:jc w:val="both"/>
      </w:pPr>
      <w:r>
        <w:t>IGS funding = Rs 60,000/-</w:t>
      </w:r>
    </w:p>
    <w:p w:rsidR="002A115C" w:rsidRDefault="002A115C" w:rsidP="00044D49">
      <w:pPr>
        <w:jc w:val="both"/>
      </w:pPr>
      <w:r>
        <w:t>GNDEC funding = Rs 50,000/-</w:t>
      </w:r>
    </w:p>
    <w:p w:rsidR="002A115C" w:rsidRDefault="002A115C" w:rsidP="00044D49">
      <w:pPr>
        <w:jc w:val="both"/>
      </w:pPr>
      <w:r>
        <w:t>On-spot registration (expected) = Rs 50,000/-</w:t>
      </w:r>
    </w:p>
    <w:p w:rsidR="002A115C" w:rsidRDefault="002A115C" w:rsidP="00044D49">
      <w:pPr>
        <w:jc w:val="both"/>
      </w:pPr>
    </w:p>
    <w:p w:rsidR="002A115C" w:rsidRDefault="002A115C" w:rsidP="00044D49">
      <w:pPr>
        <w:jc w:val="both"/>
      </w:pPr>
    </w:p>
    <w:sectPr w:rsidR="002A115C" w:rsidSect="00854EE6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8A36BE"/>
    <w:rsid w:val="000125D7"/>
    <w:rsid w:val="000165A0"/>
    <w:rsid w:val="000218E7"/>
    <w:rsid w:val="00030C93"/>
    <w:rsid w:val="0003117D"/>
    <w:rsid w:val="000319BE"/>
    <w:rsid w:val="000332FB"/>
    <w:rsid w:val="00033C7E"/>
    <w:rsid w:val="00044D49"/>
    <w:rsid w:val="00054012"/>
    <w:rsid w:val="0005757F"/>
    <w:rsid w:val="00060717"/>
    <w:rsid w:val="000947FC"/>
    <w:rsid w:val="00096E60"/>
    <w:rsid w:val="000A4DBD"/>
    <w:rsid w:val="000B3AAC"/>
    <w:rsid w:val="000D4E7B"/>
    <w:rsid w:val="000D685F"/>
    <w:rsid w:val="000E19AC"/>
    <w:rsid w:val="000E3C42"/>
    <w:rsid w:val="000E435E"/>
    <w:rsid w:val="000F2D6C"/>
    <w:rsid w:val="000F5FCF"/>
    <w:rsid w:val="00104031"/>
    <w:rsid w:val="0011045C"/>
    <w:rsid w:val="00120D9E"/>
    <w:rsid w:val="00125F2B"/>
    <w:rsid w:val="001319DD"/>
    <w:rsid w:val="00140401"/>
    <w:rsid w:val="001418CE"/>
    <w:rsid w:val="0014382E"/>
    <w:rsid w:val="00143CBC"/>
    <w:rsid w:val="001457FF"/>
    <w:rsid w:val="00146741"/>
    <w:rsid w:val="00147039"/>
    <w:rsid w:val="00147535"/>
    <w:rsid w:val="001569B3"/>
    <w:rsid w:val="00156F38"/>
    <w:rsid w:val="00164DB3"/>
    <w:rsid w:val="00166664"/>
    <w:rsid w:val="0018019B"/>
    <w:rsid w:val="00182FEA"/>
    <w:rsid w:val="00183470"/>
    <w:rsid w:val="00195DAB"/>
    <w:rsid w:val="00196892"/>
    <w:rsid w:val="001975B1"/>
    <w:rsid w:val="001A6227"/>
    <w:rsid w:val="001B305D"/>
    <w:rsid w:val="001B42DA"/>
    <w:rsid w:val="001C1150"/>
    <w:rsid w:val="001C3234"/>
    <w:rsid w:val="001E670B"/>
    <w:rsid w:val="001E6E8E"/>
    <w:rsid w:val="00200AF2"/>
    <w:rsid w:val="0021002E"/>
    <w:rsid w:val="002105F9"/>
    <w:rsid w:val="0023365F"/>
    <w:rsid w:val="002354EF"/>
    <w:rsid w:val="00235F44"/>
    <w:rsid w:val="00240961"/>
    <w:rsid w:val="0024530C"/>
    <w:rsid w:val="00245A7D"/>
    <w:rsid w:val="00246BA9"/>
    <w:rsid w:val="0025465F"/>
    <w:rsid w:val="00267278"/>
    <w:rsid w:val="00270FB6"/>
    <w:rsid w:val="00272F06"/>
    <w:rsid w:val="00282F27"/>
    <w:rsid w:val="002A115C"/>
    <w:rsid w:val="002B560B"/>
    <w:rsid w:val="002B596E"/>
    <w:rsid w:val="002B640C"/>
    <w:rsid w:val="002D554D"/>
    <w:rsid w:val="002D7DF0"/>
    <w:rsid w:val="002F444F"/>
    <w:rsid w:val="003022F5"/>
    <w:rsid w:val="00310F0F"/>
    <w:rsid w:val="00315294"/>
    <w:rsid w:val="00324615"/>
    <w:rsid w:val="00334C4E"/>
    <w:rsid w:val="00335430"/>
    <w:rsid w:val="00335B88"/>
    <w:rsid w:val="0034132A"/>
    <w:rsid w:val="0034752E"/>
    <w:rsid w:val="0035427A"/>
    <w:rsid w:val="00355985"/>
    <w:rsid w:val="00356744"/>
    <w:rsid w:val="00357223"/>
    <w:rsid w:val="0037013E"/>
    <w:rsid w:val="003705AD"/>
    <w:rsid w:val="00374711"/>
    <w:rsid w:val="003759B2"/>
    <w:rsid w:val="0037792E"/>
    <w:rsid w:val="00391B33"/>
    <w:rsid w:val="003A4C86"/>
    <w:rsid w:val="003A62F7"/>
    <w:rsid w:val="003A66EB"/>
    <w:rsid w:val="003B0725"/>
    <w:rsid w:val="003B1B34"/>
    <w:rsid w:val="003B5973"/>
    <w:rsid w:val="003B5E01"/>
    <w:rsid w:val="003C09F9"/>
    <w:rsid w:val="003C0DE4"/>
    <w:rsid w:val="003C1587"/>
    <w:rsid w:val="003C6F34"/>
    <w:rsid w:val="003D2AFF"/>
    <w:rsid w:val="003D5123"/>
    <w:rsid w:val="003E0F34"/>
    <w:rsid w:val="003E2CC0"/>
    <w:rsid w:val="003E2F5B"/>
    <w:rsid w:val="003F2591"/>
    <w:rsid w:val="0040601B"/>
    <w:rsid w:val="00444FA4"/>
    <w:rsid w:val="00461169"/>
    <w:rsid w:val="004732D2"/>
    <w:rsid w:val="00486224"/>
    <w:rsid w:val="004975D8"/>
    <w:rsid w:val="00497D55"/>
    <w:rsid w:val="004B28E5"/>
    <w:rsid w:val="004C2318"/>
    <w:rsid w:val="004E0BF4"/>
    <w:rsid w:val="004F7709"/>
    <w:rsid w:val="0050663D"/>
    <w:rsid w:val="005069AD"/>
    <w:rsid w:val="00512664"/>
    <w:rsid w:val="0052284C"/>
    <w:rsid w:val="005269D4"/>
    <w:rsid w:val="005303D5"/>
    <w:rsid w:val="00534667"/>
    <w:rsid w:val="00545BD1"/>
    <w:rsid w:val="00550D8E"/>
    <w:rsid w:val="0055433F"/>
    <w:rsid w:val="005677D4"/>
    <w:rsid w:val="00567AEF"/>
    <w:rsid w:val="005735CE"/>
    <w:rsid w:val="00573CD5"/>
    <w:rsid w:val="005829AB"/>
    <w:rsid w:val="005B5483"/>
    <w:rsid w:val="005C6B97"/>
    <w:rsid w:val="005D4CE2"/>
    <w:rsid w:val="005E39A7"/>
    <w:rsid w:val="005F5C39"/>
    <w:rsid w:val="00604729"/>
    <w:rsid w:val="00625DE9"/>
    <w:rsid w:val="00627CB5"/>
    <w:rsid w:val="0063639A"/>
    <w:rsid w:val="0065507A"/>
    <w:rsid w:val="00667280"/>
    <w:rsid w:val="006708BC"/>
    <w:rsid w:val="006754CF"/>
    <w:rsid w:val="0068770B"/>
    <w:rsid w:val="006D4981"/>
    <w:rsid w:val="006E14FA"/>
    <w:rsid w:val="006E38CF"/>
    <w:rsid w:val="006E58EA"/>
    <w:rsid w:val="006E725F"/>
    <w:rsid w:val="006F0B0C"/>
    <w:rsid w:val="006F3DB2"/>
    <w:rsid w:val="00702FE4"/>
    <w:rsid w:val="007149DB"/>
    <w:rsid w:val="00717228"/>
    <w:rsid w:val="00722D47"/>
    <w:rsid w:val="00735111"/>
    <w:rsid w:val="007366E5"/>
    <w:rsid w:val="007436E9"/>
    <w:rsid w:val="0074656D"/>
    <w:rsid w:val="00772A9F"/>
    <w:rsid w:val="00772F19"/>
    <w:rsid w:val="00774308"/>
    <w:rsid w:val="00774C01"/>
    <w:rsid w:val="007813BC"/>
    <w:rsid w:val="00781FAA"/>
    <w:rsid w:val="007829DC"/>
    <w:rsid w:val="0078508B"/>
    <w:rsid w:val="007A632A"/>
    <w:rsid w:val="007B06B2"/>
    <w:rsid w:val="007B7770"/>
    <w:rsid w:val="007C0410"/>
    <w:rsid w:val="007C1346"/>
    <w:rsid w:val="007E7325"/>
    <w:rsid w:val="007F4409"/>
    <w:rsid w:val="007F743D"/>
    <w:rsid w:val="00800CEE"/>
    <w:rsid w:val="00806971"/>
    <w:rsid w:val="00813E3A"/>
    <w:rsid w:val="008179A4"/>
    <w:rsid w:val="00835F67"/>
    <w:rsid w:val="0085403F"/>
    <w:rsid w:val="00854EE6"/>
    <w:rsid w:val="00856DEC"/>
    <w:rsid w:val="008703D1"/>
    <w:rsid w:val="00874B32"/>
    <w:rsid w:val="00882276"/>
    <w:rsid w:val="00886BBD"/>
    <w:rsid w:val="008902B6"/>
    <w:rsid w:val="008912F2"/>
    <w:rsid w:val="00892EFE"/>
    <w:rsid w:val="0089382D"/>
    <w:rsid w:val="00895CD7"/>
    <w:rsid w:val="008A1119"/>
    <w:rsid w:val="008A171E"/>
    <w:rsid w:val="008A36BE"/>
    <w:rsid w:val="008A6DCF"/>
    <w:rsid w:val="008B5E88"/>
    <w:rsid w:val="008C18C2"/>
    <w:rsid w:val="008C78C8"/>
    <w:rsid w:val="00902C1F"/>
    <w:rsid w:val="00904CE7"/>
    <w:rsid w:val="009108D9"/>
    <w:rsid w:val="00917A80"/>
    <w:rsid w:val="00922E30"/>
    <w:rsid w:val="00930673"/>
    <w:rsid w:val="00937615"/>
    <w:rsid w:val="00960320"/>
    <w:rsid w:val="00976D77"/>
    <w:rsid w:val="00985100"/>
    <w:rsid w:val="00986075"/>
    <w:rsid w:val="009869AB"/>
    <w:rsid w:val="009900CF"/>
    <w:rsid w:val="009A1B6A"/>
    <w:rsid w:val="009A4B06"/>
    <w:rsid w:val="009B0E1B"/>
    <w:rsid w:val="009B1374"/>
    <w:rsid w:val="009B3874"/>
    <w:rsid w:val="009B6E3C"/>
    <w:rsid w:val="009B7490"/>
    <w:rsid w:val="009C6CBA"/>
    <w:rsid w:val="009D3593"/>
    <w:rsid w:val="00A0248A"/>
    <w:rsid w:val="00A14A4B"/>
    <w:rsid w:val="00A23D38"/>
    <w:rsid w:val="00A269B0"/>
    <w:rsid w:val="00A332B7"/>
    <w:rsid w:val="00A47A1A"/>
    <w:rsid w:val="00A5258A"/>
    <w:rsid w:val="00A54D4F"/>
    <w:rsid w:val="00A565F7"/>
    <w:rsid w:val="00A61CFE"/>
    <w:rsid w:val="00A647BD"/>
    <w:rsid w:val="00A70AB2"/>
    <w:rsid w:val="00A73850"/>
    <w:rsid w:val="00A924E8"/>
    <w:rsid w:val="00A93FED"/>
    <w:rsid w:val="00AA654E"/>
    <w:rsid w:val="00AB549D"/>
    <w:rsid w:val="00AB72F3"/>
    <w:rsid w:val="00AC1113"/>
    <w:rsid w:val="00AC713A"/>
    <w:rsid w:val="00AD0655"/>
    <w:rsid w:val="00AD0B56"/>
    <w:rsid w:val="00AD35EE"/>
    <w:rsid w:val="00AD430D"/>
    <w:rsid w:val="00B20266"/>
    <w:rsid w:val="00B2152C"/>
    <w:rsid w:val="00B22C78"/>
    <w:rsid w:val="00B25781"/>
    <w:rsid w:val="00B27216"/>
    <w:rsid w:val="00B30BE8"/>
    <w:rsid w:val="00B33259"/>
    <w:rsid w:val="00B50E83"/>
    <w:rsid w:val="00B5424D"/>
    <w:rsid w:val="00B545A9"/>
    <w:rsid w:val="00B5607E"/>
    <w:rsid w:val="00B57AA4"/>
    <w:rsid w:val="00B61B4D"/>
    <w:rsid w:val="00B6284D"/>
    <w:rsid w:val="00B67DC9"/>
    <w:rsid w:val="00B80079"/>
    <w:rsid w:val="00B91743"/>
    <w:rsid w:val="00B9326D"/>
    <w:rsid w:val="00BA58AE"/>
    <w:rsid w:val="00BA5FD3"/>
    <w:rsid w:val="00BB1240"/>
    <w:rsid w:val="00BD667B"/>
    <w:rsid w:val="00BF0C8F"/>
    <w:rsid w:val="00BF423D"/>
    <w:rsid w:val="00BF6432"/>
    <w:rsid w:val="00C02684"/>
    <w:rsid w:val="00C04D66"/>
    <w:rsid w:val="00C12A87"/>
    <w:rsid w:val="00C310F0"/>
    <w:rsid w:val="00C32E91"/>
    <w:rsid w:val="00C342CA"/>
    <w:rsid w:val="00C45CF2"/>
    <w:rsid w:val="00C56895"/>
    <w:rsid w:val="00C57196"/>
    <w:rsid w:val="00C605C0"/>
    <w:rsid w:val="00C66301"/>
    <w:rsid w:val="00C667D8"/>
    <w:rsid w:val="00C70F37"/>
    <w:rsid w:val="00C72C59"/>
    <w:rsid w:val="00C84C4D"/>
    <w:rsid w:val="00C86A91"/>
    <w:rsid w:val="00C93E21"/>
    <w:rsid w:val="00C97F02"/>
    <w:rsid w:val="00CB56CA"/>
    <w:rsid w:val="00CC0CD1"/>
    <w:rsid w:val="00CC21DD"/>
    <w:rsid w:val="00CC7034"/>
    <w:rsid w:val="00CD109C"/>
    <w:rsid w:val="00CD1AED"/>
    <w:rsid w:val="00CD1D12"/>
    <w:rsid w:val="00CD2C91"/>
    <w:rsid w:val="00CE4612"/>
    <w:rsid w:val="00CF0502"/>
    <w:rsid w:val="00CF1ADB"/>
    <w:rsid w:val="00D02091"/>
    <w:rsid w:val="00D03F52"/>
    <w:rsid w:val="00D059FA"/>
    <w:rsid w:val="00D06A76"/>
    <w:rsid w:val="00D20427"/>
    <w:rsid w:val="00D20769"/>
    <w:rsid w:val="00D4305C"/>
    <w:rsid w:val="00D443D9"/>
    <w:rsid w:val="00D4581F"/>
    <w:rsid w:val="00D502D2"/>
    <w:rsid w:val="00D5229A"/>
    <w:rsid w:val="00D52432"/>
    <w:rsid w:val="00D57E94"/>
    <w:rsid w:val="00D61ADD"/>
    <w:rsid w:val="00D73451"/>
    <w:rsid w:val="00D848BA"/>
    <w:rsid w:val="00D936D5"/>
    <w:rsid w:val="00D96928"/>
    <w:rsid w:val="00D96EB6"/>
    <w:rsid w:val="00D97DA2"/>
    <w:rsid w:val="00DB26D3"/>
    <w:rsid w:val="00DB5806"/>
    <w:rsid w:val="00DC1200"/>
    <w:rsid w:val="00DC7B75"/>
    <w:rsid w:val="00DD2C95"/>
    <w:rsid w:val="00DE52B4"/>
    <w:rsid w:val="00DF03E3"/>
    <w:rsid w:val="00DF1FCD"/>
    <w:rsid w:val="00DF3266"/>
    <w:rsid w:val="00DF56D0"/>
    <w:rsid w:val="00E0040C"/>
    <w:rsid w:val="00E070E7"/>
    <w:rsid w:val="00E168DE"/>
    <w:rsid w:val="00E223B7"/>
    <w:rsid w:val="00E362FB"/>
    <w:rsid w:val="00E44A37"/>
    <w:rsid w:val="00E47E36"/>
    <w:rsid w:val="00E542FE"/>
    <w:rsid w:val="00E815A3"/>
    <w:rsid w:val="00E91F3B"/>
    <w:rsid w:val="00EA74F1"/>
    <w:rsid w:val="00EA76AC"/>
    <w:rsid w:val="00EC0A6D"/>
    <w:rsid w:val="00ED2874"/>
    <w:rsid w:val="00ED5169"/>
    <w:rsid w:val="00EE77DF"/>
    <w:rsid w:val="00EF646F"/>
    <w:rsid w:val="00EF6C38"/>
    <w:rsid w:val="00EF7AB5"/>
    <w:rsid w:val="00F15104"/>
    <w:rsid w:val="00F17D27"/>
    <w:rsid w:val="00F2394B"/>
    <w:rsid w:val="00F269CE"/>
    <w:rsid w:val="00F33B12"/>
    <w:rsid w:val="00F351D3"/>
    <w:rsid w:val="00F46A6E"/>
    <w:rsid w:val="00F52FAA"/>
    <w:rsid w:val="00F73CF3"/>
    <w:rsid w:val="00F82B31"/>
    <w:rsid w:val="00F8434C"/>
    <w:rsid w:val="00F84BA5"/>
    <w:rsid w:val="00F90723"/>
    <w:rsid w:val="00FA426A"/>
    <w:rsid w:val="00FA66F7"/>
    <w:rsid w:val="00FB0FDC"/>
    <w:rsid w:val="00FB59BD"/>
    <w:rsid w:val="00FE0830"/>
    <w:rsid w:val="00FF023B"/>
    <w:rsid w:val="00FF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HVS</dc:creator>
  <cp:lastModifiedBy>HP</cp:lastModifiedBy>
  <cp:revision>5</cp:revision>
  <dcterms:created xsi:type="dcterms:W3CDTF">2015-09-21T09:24:00Z</dcterms:created>
  <dcterms:modified xsi:type="dcterms:W3CDTF">2015-10-02T04:51:00Z</dcterms:modified>
</cp:coreProperties>
</file>